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EB" w:rsidRPr="007F4F1C" w:rsidRDefault="007F4F1C" w:rsidP="007F4F1C">
      <w:pPr>
        <w:spacing w:after="0"/>
        <w:ind w:left="720" w:right="144"/>
        <w:jc w:val="center"/>
        <w:rPr>
          <w:rFonts w:ascii="Times New Roman" w:hAnsi="Times New Roman" w:cs="Times New Roman"/>
          <w:b/>
          <w:sz w:val="28"/>
          <w:szCs w:val="28"/>
          <w:lang w:val="es-MX"/>
        </w:rPr>
      </w:pPr>
      <w:bookmarkStart w:id="0" w:name="_GoBack"/>
      <w:bookmarkEnd w:id="0"/>
      <w:r w:rsidRPr="007F4F1C">
        <w:rPr>
          <w:rFonts w:ascii="Times New Roman" w:hAnsi="Times New Roman" w:cs="Times New Roman"/>
          <w:b/>
          <w:sz w:val="28"/>
          <w:szCs w:val="28"/>
          <w:lang w:val="es-MX"/>
        </w:rPr>
        <w:t>Decisión</w:t>
      </w:r>
      <w:r w:rsidR="00D0193C" w:rsidRPr="007F4F1C">
        <w:rPr>
          <w:rFonts w:ascii="Times New Roman" w:hAnsi="Times New Roman" w:cs="Times New Roman"/>
          <w:b/>
          <w:sz w:val="28"/>
          <w:szCs w:val="28"/>
          <w:lang w:val="es-MX"/>
        </w:rPr>
        <w:t xml:space="preserve"> de La </w:t>
      </w:r>
      <w:r w:rsidR="00F467DC">
        <w:rPr>
          <w:rFonts w:ascii="Times New Roman" w:hAnsi="Times New Roman" w:cs="Times New Roman"/>
          <w:b/>
          <w:sz w:val="28"/>
          <w:szCs w:val="28"/>
          <w:lang w:val="es-MX"/>
        </w:rPr>
        <w:t>Suprema</w:t>
      </w:r>
      <w:r w:rsidR="00D0193C" w:rsidRPr="007F4F1C">
        <w:rPr>
          <w:rFonts w:ascii="Times New Roman" w:hAnsi="Times New Roman" w:cs="Times New Roman"/>
          <w:b/>
          <w:sz w:val="28"/>
          <w:szCs w:val="28"/>
          <w:lang w:val="es-MX"/>
        </w:rPr>
        <w:t xml:space="preserve"> </w:t>
      </w:r>
      <w:r w:rsidR="00F467DC">
        <w:rPr>
          <w:rFonts w:ascii="Times New Roman" w:hAnsi="Times New Roman" w:cs="Times New Roman"/>
          <w:b/>
          <w:sz w:val="28"/>
          <w:szCs w:val="28"/>
          <w:lang w:val="es-MX"/>
        </w:rPr>
        <w:t>Corte</w:t>
      </w:r>
    </w:p>
    <w:p w:rsidR="00345898" w:rsidRPr="007F4F1C" w:rsidRDefault="007F4F1C" w:rsidP="007F4F1C">
      <w:pPr>
        <w:spacing w:after="0"/>
        <w:jc w:val="center"/>
        <w:rPr>
          <w:rFonts w:ascii="Times New Roman" w:hAnsi="Times New Roman" w:cs="Times New Roman"/>
          <w:b/>
          <w:i/>
          <w:sz w:val="20"/>
          <w:szCs w:val="20"/>
        </w:rPr>
      </w:pPr>
      <w:r w:rsidRPr="007F4F1C">
        <w:rPr>
          <w:rFonts w:ascii="Times New Roman" w:hAnsi="Times New Roman" w:cs="Times New Roman"/>
          <w:b/>
          <w:i/>
          <w:sz w:val="20"/>
          <w:szCs w:val="20"/>
        </w:rPr>
        <w:t xml:space="preserve">       </w:t>
      </w:r>
      <w:r w:rsidR="00345898" w:rsidRPr="007F4F1C">
        <w:rPr>
          <w:rFonts w:ascii="Times New Roman" w:hAnsi="Times New Roman" w:cs="Times New Roman"/>
          <w:b/>
          <w:i/>
          <w:sz w:val="20"/>
          <w:szCs w:val="20"/>
        </w:rPr>
        <w:t>Good News Club contra Milford Central School</w:t>
      </w:r>
    </w:p>
    <w:p w:rsidR="00345898" w:rsidRPr="007F4F1C" w:rsidRDefault="007F4F1C" w:rsidP="007F4F1C">
      <w:pPr>
        <w:spacing w:after="0"/>
        <w:ind w:left="1440"/>
        <w:rPr>
          <w:rFonts w:ascii="Times New Roman" w:hAnsi="Times New Roman" w:cs="Times New Roman"/>
          <w:b/>
          <w:sz w:val="20"/>
          <w:szCs w:val="20"/>
          <w:lang w:val="es-MX"/>
        </w:rPr>
      </w:pPr>
      <w:r w:rsidRPr="00F467DC">
        <w:rPr>
          <w:rFonts w:ascii="Times New Roman" w:hAnsi="Times New Roman" w:cs="Times New Roman"/>
          <w:b/>
          <w:sz w:val="20"/>
          <w:szCs w:val="20"/>
        </w:rPr>
        <w:t xml:space="preserve">                                                       </w:t>
      </w:r>
      <w:r w:rsidR="00345898" w:rsidRPr="007F4F1C">
        <w:rPr>
          <w:rFonts w:ascii="Times New Roman" w:hAnsi="Times New Roman" w:cs="Times New Roman"/>
          <w:b/>
          <w:sz w:val="20"/>
          <w:szCs w:val="20"/>
          <w:lang w:val="es-MX"/>
        </w:rPr>
        <w:t>Junio 11, 2001</w:t>
      </w:r>
    </w:p>
    <w:p w:rsidR="00345898" w:rsidRPr="007F4F1C" w:rsidRDefault="007F4F1C" w:rsidP="007F4F1C">
      <w:pPr>
        <w:spacing w:after="0"/>
        <w:jc w:val="center"/>
        <w:rPr>
          <w:rFonts w:ascii="Times New Roman" w:hAnsi="Times New Roman" w:cs="Times New Roman"/>
          <w:b/>
          <w:sz w:val="20"/>
          <w:szCs w:val="20"/>
          <w:lang w:val="es-MX"/>
        </w:rPr>
      </w:pPr>
      <w:r>
        <w:rPr>
          <w:rFonts w:ascii="Times New Roman" w:hAnsi="Times New Roman" w:cs="Times New Roman"/>
          <w:b/>
          <w:sz w:val="20"/>
          <w:szCs w:val="20"/>
          <w:lang w:val="es-MX"/>
        </w:rPr>
        <w:t>Acceso igualitario – Breve s</w:t>
      </w:r>
      <w:r w:rsidRPr="007F4F1C">
        <w:rPr>
          <w:rFonts w:ascii="Times New Roman" w:hAnsi="Times New Roman" w:cs="Times New Roman"/>
          <w:b/>
          <w:sz w:val="20"/>
          <w:szCs w:val="20"/>
          <w:lang w:val="es-MX"/>
        </w:rPr>
        <w:t>inopsis</w:t>
      </w:r>
    </w:p>
    <w:p w:rsidR="00D5183B" w:rsidRPr="007F4F1C" w:rsidRDefault="00D5183B" w:rsidP="00345898">
      <w:pPr>
        <w:spacing w:after="0"/>
        <w:jc w:val="center"/>
        <w:rPr>
          <w:rFonts w:ascii="Times New Roman" w:hAnsi="Times New Roman" w:cs="Times New Roman"/>
          <w:b/>
          <w:sz w:val="20"/>
          <w:szCs w:val="20"/>
          <w:lang w:val="es-MX"/>
        </w:rPr>
      </w:pPr>
    </w:p>
    <w:p w:rsidR="00D5183B" w:rsidRPr="00DC1796" w:rsidRDefault="00D5183B" w:rsidP="007F4F1C">
      <w:pPr>
        <w:spacing w:after="0"/>
        <w:ind w:left="432" w:right="144"/>
        <w:rPr>
          <w:rFonts w:ascii="Times New Roman" w:hAnsi="Times New Roman" w:cs="Times New Roman"/>
          <w:b/>
          <w:lang w:val="es-MX"/>
        </w:rPr>
      </w:pPr>
      <w:proofErr w:type="gramStart"/>
      <w:r>
        <w:rPr>
          <w:rFonts w:ascii="Times New Roman" w:hAnsi="Times New Roman" w:cs="Times New Roman"/>
          <w:lang w:val="es-MX"/>
        </w:rPr>
        <w:softHyphen/>
      </w:r>
      <w:r w:rsidRPr="00DC1796">
        <w:rPr>
          <w:rFonts w:ascii="Times New Roman" w:hAnsi="Times New Roman" w:cs="Times New Roman"/>
          <w:b/>
          <w:lang w:val="es-MX"/>
        </w:rPr>
        <w:t>¿</w:t>
      </w:r>
      <w:proofErr w:type="gramEnd"/>
      <w:r w:rsidRPr="00DC1796">
        <w:rPr>
          <w:rFonts w:ascii="Times New Roman" w:hAnsi="Times New Roman" w:cs="Times New Roman"/>
          <w:b/>
          <w:lang w:val="es-MX"/>
        </w:rPr>
        <w:t>Cuál fue la resolución de la Corte?</w:t>
      </w:r>
    </w:p>
    <w:p w:rsidR="003D1F3C" w:rsidRDefault="003D1F3C" w:rsidP="00D5183B">
      <w:pPr>
        <w:spacing w:after="0"/>
        <w:ind w:left="144" w:right="144"/>
        <w:rPr>
          <w:rFonts w:ascii="Times New Roman" w:hAnsi="Times New Roman" w:cs="Times New Roman"/>
          <w:lang w:val="es-MX"/>
        </w:rPr>
      </w:pPr>
    </w:p>
    <w:p w:rsidR="003D1F3C" w:rsidRDefault="003D1F3C" w:rsidP="007F4F1C">
      <w:pPr>
        <w:spacing w:after="0"/>
        <w:ind w:left="432" w:right="144"/>
        <w:jc w:val="both"/>
        <w:rPr>
          <w:rFonts w:ascii="Times New Roman" w:hAnsi="Times New Roman" w:cs="Times New Roman"/>
          <w:lang w:val="es-MX"/>
        </w:rPr>
      </w:pPr>
      <w:r>
        <w:rPr>
          <w:rFonts w:ascii="Times New Roman" w:hAnsi="Times New Roman" w:cs="Times New Roman"/>
          <w:lang w:val="es-MX"/>
        </w:rPr>
        <w:t>La Escuela Milford Central violó los derechos del Club de Buenas Nuevas (Good News Club), bajo la cláusula constitutiva de la Primera Enmienda de la Constitución de Los Estados Unidos.  La escuela de Milford no hubiera violado esta Cláusula Establecida de la Primera Enmienda (referida como “separa</w:t>
      </w:r>
      <w:r w:rsidR="007F4F1C">
        <w:rPr>
          <w:rFonts w:ascii="Times New Roman" w:hAnsi="Times New Roman" w:cs="Times New Roman"/>
          <w:lang w:val="es-MX"/>
        </w:rPr>
        <w:t>ción de estado e iglesia”) si le</w:t>
      </w:r>
      <w:r>
        <w:rPr>
          <w:rFonts w:ascii="Times New Roman" w:hAnsi="Times New Roman" w:cs="Times New Roman"/>
          <w:lang w:val="es-MX"/>
        </w:rPr>
        <w:t xml:space="preserve"> hubiera permitido al club poderse reunir.</w:t>
      </w:r>
    </w:p>
    <w:p w:rsidR="003D1F3C" w:rsidRDefault="003D1F3C" w:rsidP="007F4F1C">
      <w:pPr>
        <w:spacing w:after="0"/>
        <w:ind w:left="432" w:right="144"/>
        <w:rPr>
          <w:rFonts w:ascii="Times New Roman" w:hAnsi="Times New Roman" w:cs="Times New Roman"/>
          <w:lang w:val="es-MX"/>
        </w:rPr>
      </w:pPr>
    </w:p>
    <w:p w:rsidR="003D1F3C" w:rsidRPr="00DC1796" w:rsidRDefault="003D1F3C" w:rsidP="007F4F1C">
      <w:pPr>
        <w:spacing w:after="0"/>
        <w:ind w:left="432" w:right="144"/>
        <w:rPr>
          <w:rFonts w:ascii="Times New Roman" w:hAnsi="Times New Roman" w:cs="Times New Roman"/>
          <w:b/>
          <w:lang w:val="es-MX"/>
        </w:rPr>
      </w:pPr>
      <w:r w:rsidRPr="00DC1796">
        <w:rPr>
          <w:rFonts w:ascii="Times New Roman" w:hAnsi="Times New Roman" w:cs="Times New Roman"/>
          <w:b/>
          <w:lang w:val="es-MX"/>
        </w:rPr>
        <w:t xml:space="preserve">¿Cuál fue el razonamiento de la Corte </w:t>
      </w:r>
      <w:r w:rsidR="00DC1796" w:rsidRPr="00DC1796">
        <w:rPr>
          <w:rFonts w:ascii="Times New Roman" w:hAnsi="Times New Roman" w:cs="Times New Roman"/>
          <w:b/>
          <w:lang w:val="es-MX"/>
        </w:rPr>
        <w:t>respecto a</w:t>
      </w:r>
      <w:r w:rsidRPr="00DC1796">
        <w:rPr>
          <w:rFonts w:ascii="Times New Roman" w:hAnsi="Times New Roman" w:cs="Times New Roman"/>
          <w:b/>
          <w:lang w:val="es-MX"/>
        </w:rPr>
        <w:t xml:space="preserve"> la de</w:t>
      </w:r>
      <w:r w:rsidR="009A46A2">
        <w:rPr>
          <w:rFonts w:ascii="Times New Roman" w:hAnsi="Times New Roman" w:cs="Times New Roman"/>
          <w:b/>
          <w:lang w:val="es-MX"/>
        </w:rPr>
        <w:t>cis</w:t>
      </w:r>
      <w:r w:rsidR="00C26E05">
        <w:rPr>
          <w:rFonts w:ascii="Times New Roman" w:hAnsi="Times New Roman" w:cs="Times New Roman"/>
          <w:b/>
          <w:lang w:val="es-MX"/>
        </w:rPr>
        <w:t>ión</w:t>
      </w:r>
      <w:r w:rsidRPr="00DC1796">
        <w:rPr>
          <w:rFonts w:ascii="Times New Roman" w:hAnsi="Times New Roman" w:cs="Times New Roman"/>
          <w:b/>
          <w:lang w:val="es-MX"/>
        </w:rPr>
        <w:t xml:space="preserve"> de la Cláusula de Libre Expresión?</w:t>
      </w:r>
    </w:p>
    <w:p w:rsidR="00345898" w:rsidRDefault="00345898" w:rsidP="00C26E05">
      <w:pPr>
        <w:spacing w:after="0"/>
        <w:ind w:left="144" w:right="144"/>
        <w:jc w:val="center"/>
        <w:rPr>
          <w:rFonts w:ascii="Times New Roman" w:hAnsi="Times New Roman" w:cs="Times New Roman"/>
          <w:b/>
          <w:sz w:val="16"/>
          <w:szCs w:val="16"/>
          <w:lang w:val="es-MX"/>
        </w:rPr>
      </w:pPr>
    </w:p>
    <w:p w:rsidR="00C26E05" w:rsidRDefault="00C26E05" w:rsidP="007F4F1C">
      <w:pPr>
        <w:spacing w:after="0"/>
        <w:ind w:left="432" w:right="144"/>
        <w:jc w:val="both"/>
        <w:rPr>
          <w:rFonts w:ascii="Times New Roman" w:hAnsi="Times New Roman" w:cs="Times New Roman"/>
          <w:lang w:val="es-MX"/>
        </w:rPr>
      </w:pPr>
      <w:r w:rsidRPr="00C26E05">
        <w:rPr>
          <w:rFonts w:ascii="Times New Roman" w:hAnsi="Times New Roman" w:cs="Times New Roman"/>
          <w:lang w:val="es-MX"/>
        </w:rPr>
        <w:t xml:space="preserve">Fue bien establecido que la Cláusula de </w:t>
      </w:r>
      <w:r>
        <w:rPr>
          <w:rFonts w:ascii="Times New Roman" w:hAnsi="Times New Roman" w:cs="Times New Roman"/>
          <w:lang w:val="es-MX"/>
        </w:rPr>
        <w:t xml:space="preserve">Libre Expresión prohíbe al gobierno </w:t>
      </w:r>
      <w:r w:rsidR="007F4F1C">
        <w:rPr>
          <w:rFonts w:ascii="Times New Roman" w:hAnsi="Times New Roman" w:cs="Times New Roman"/>
          <w:lang w:val="es-MX"/>
        </w:rPr>
        <w:t>tratar</w:t>
      </w:r>
      <w:r>
        <w:rPr>
          <w:rFonts w:ascii="Times New Roman" w:hAnsi="Times New Roman" w:cs="Times New Roman"/>
          <w:lang w:val="es-MX"/>
        </w:rPr>
        <w:t xml:space="preserve"> </w:t>
      </w:r>
      <w:r w:rsidR="000A563A">
        <w:rPr>
          <w:rFonts w:ascii="Times New Roman" w:hAnsi="Times New Roman" w:cs="Times New Roman"/>
          <w:lang w:val="es-MX"/>
        </w:rPr>
        <w:t>la</w:t>
      </w:r>
      <w:r>
        <w:rPr>
          <w:rFonts w:ascii="Times New Roman" w:hAnsi="Times New Roman" w:cs="Times New Roman"/>
          <w:lang w:val="es-MX"/>
        </w:rPr>
        <w:t xml:space="preserve"> libertad de expresión </w:t>
      </w:r>
      <w:r w:rsidR="007F4F1C">
        <w:rPr>
          <w:rFonts w:ascii="Times New Roman" w:hAnsi="Times New Roman" w:cs="Times New Roman"/>
          <w:lang w:val="es-MX"/>
        </w:rPr>
        <w:t>diferente basado en sus</w:t>
      </w:r>
      <w:r>
        <w:rPr>
          <w:rFonts w:ascii="Times New Roman" w:hAnsi="Times New Roman" w:cs="Times New Roman"/>
          <w:lang w:val="es-MX"/>
        </w:rPr>
        <w:t xml:space="preserve"> puntos de vista.  La Corte estipula que la escuela de Milford violó esta</w:t>
      </w:r>
      <w:r w:rsidR="000A563A">
        <w:rPr>
          <w:rFonts w:ascii="Times New Roman" w:hAnsi="Times New Roman" w:cs="Times New Roman"/>
          <w:lang w:val="es-MX"/>
        </w:rPr>
        <w:t xml:space="preserve"> </w:t>
      </w:r>
      <w:r>
        <w:rPr>
          <w:rFonts w:ascii="Times New Roman" w:hAnsi="Times New Roman" w:cs="Times New Roman"/>
          <w:lang w:val="es-MX"/>
        </w:rPr>
        <w:t xml:space="preserve">Regla.  La Corte concluyó que los Scouts </w:t>
      </w:r>
      <w:r w:rsidR="005A7F38">
        <w:rPr>
          <w:rFonts w:ascii="Times New Roman" w:hAnsi="Times New Roman" w:cs="Times New Roman"/>
          <w:lang w:val="es-MX"/>
        </w:rPr>
        <w:t>se enfocaron en perspectivas seculares morales y de carácter.</w:t>
      </w:r>
      <w:r w:rsidR="000A563A">
        <w:rPr>
          <w:rFonts w:ascii="Times New Roman" w:hAnsi="Times New Roman" w:cs="Times New Roman"/>
          <w:lang w:val="es-MX"/>
        </w:rPr>
        <w:t xml:space="preserve"> L</w:t>
      </w:r>
      <w:r w:rsidR="009A46A2">
        <w:rPr>
          <w:rFonts w:ascii="Times New Roman" w:hAnsi="Times New Roman" w:cs="Times New Roman"/>
          <w:lang w:val="es-MX"/>
        </w:rPr>
        <w:t>a Corte constató</w:t>
      </w:r>
      <w:r w:rsidR="005A7F38">
        <w:rPr>
          <w:rFonts w:ascii="Times New Roman" w:hAnsi="Times New Roman" w:cs="Times New Roman"/>
          <w:lang w:val="es-MX"/>
        </w:rPr>
        <w:t xml:space="preserve"> que el Club estaba dirigiendo </w:t>
      </w:r>
      <w:r w:rsidR="00A0667D">
        <w:rPr>
          <w:rFonts w:ascii="Times New Roman" w:hAnsi="Times New Roman" w:cs="Times New Roman"/>
          <w:lang w:val="es-MX"/>
        </w:rPr>
        <w:t>conforme</w:t>
      </w:r>
      <w:r w:rsidR="005A7F38">
        <w:rPr>
          <w:rFonts w:ascii="Times New Roman" w:hAnsi="Times New Roman" w:cs="Times New Roman"/>
          <w:lang w:val="es-MX"/>
        </w:rPr>
        <w:t xml:space="preserve"> a las mismas normas (morales y de carácter), si bien, desde una perspectiva religiosa. </w:t>
      </w:r>
    </w:p>
    <w:p w:rsidR="009A46A2" w:rsidRDefault="009A46A2" w:rsidP="00C26E05">
      <w:pPr>
        <w:spacing w:after="0"/>
        <w:ind w:left="144" w:right="144"/>
        <w:rPr>
          <w:rFonts w:ascii="Times New Roman" w:hAnsi="Times New Roman" w:cs="Times New Roman"/>
          <w:lang w:val="es-MX"/>
        </w:rPr>
      </w:pPr>
    </w:p>
    <w:p w:rsidR="009A46A2" w:rsidRDefault="009A46A2" w:rsidP="007F4F1C">
      <w:pPr>
        <w:spacing w:after="0"/>
        <w:ind w:left="432" w:right="144"/>
        <w:rPr>
          <w:rFonts w:ascii="Times New Roman" w:hAnsi="Times New Roman" w:cs="Times New Roman"/>
          <w:b/>
          <w:lang w:val="es-MX"/>
        </w:rPr>
      </w:pPr>
      <w:r w:rsidRPr="00DC1796">
        <w:rPr>
          <w:rFonts w:ascii="Times New Roman" w:hAnsi="Times New Roman" w:cs="Times New Roman"/>
          <w:b/>
          <w:lang w:val="es-MX"/>
        </w:rPr>
        <w:t>¿Cuál fue el razonamiento de la Corte respecto a la de</w:t>
      </w:r>
      <w:r>
        <w:rPr>
          <w:rFonts w:ascii="Times New Roman" w:hAnsi="Times New Roman" w:cs="Times New Roman"/>
          <w:b/>
          <w:lang w:val="es-MX"/>
        </w:rPr>
        <w:t>cisión</w:t>
      </w:r>
      <w:r w:rsidRPr="00DC1796">
        <w:rPr>
          <w:rFonts w:ascii="Times New Roman" w:hAnsi="Times New Roman" w:cs="Times New Roman"/>
          <w:b/>
          <w:lang w:val="es-MX"/>
        </w:rPr>
        <w:t xml:space="preserve"> de la </w:t>
      </w:r>
      <w:r w:rsidRPr="009A46A2">
        <w:rPr>
          <w:rFonts w:ascii="Times New Roman" w:hAnsi="Times New Roman" w:cs="Times New Roman"/>
          <w:b/>
          <w:lang w:val="es-MX"/>
        </w:rPr>
        <w:t>Cláusula Establecida de la Primera Enmienda</w:t>
      </w:r>
      <w:r w:rsidR="00A0667D">
        <w:rPr>
          <w:rFonts w:ascii="Times New Roman" w:hAnsi="Times New Roman" w:cs="Times New Roman"/>
          <w:b/>
          <w:lang w:val="es-MX"/>
        </w:rPr>
        <w:t>?</w:t>
      </w:r>
    </w:p>
    <w:p w:rsidR="00A0667D" w:rsidRDefault="00A0667D" w:rsidP="00C26E05">
      <w:pPr>
        <w:spacing w:after="0"/>
        <w:ind w:left="144" w:right="144"/>
        <w:rPr>
          <w:rFonts w:ascii="Times New Roman" w:hAnsi="Times New Roman" w:cs="Times New Roman"/>
          <w:b/>
          <w:lang w:val="es-MX"/>
        </w:rPr>
      </w:pPr>
    </w:p>
    <w:p w:rsidR="005A7F38" w:rsidRPr="00A5557C" w:rsidRDefault="00A0667D" w:rsidP="00F503E5">
      <w:pPr>
        <w:spacing w:after="0"/>
        <w:ind w:left="432" w:right="144"/>
        <w:jc w:val="both"/>
        <w:rPr>
          <w:rFonts w:ascii="Times New Roman" w:hAnsi="Times New Roman" w:cs="Times New Roman"/>
          <w:lang w:val="es-MX"/>
        </w:rPr>
      </w:pPr>
      <w:r>
        <w:rPr>
          <w:rFonts w:ascii="Times New Roman" w:hAnsi="Times New Roman" w:cs="Times New Roman"/>
          <w:lang w:val="es-MX"/>
        </w:rPr>
        <w:t>Primero, el trato igualitario de parlantes religiosos no promueve una religión.  La neutralidad es neutralidad, no favoritismo.  Segundo, los padres deciden si sus hijos asisten a las reuniones del Club.</w:t>
      </w:r>
      <w:r w:rsidR="00F503E5">
        <w:rPr>
          <w:rFonts w:ascii="Times New Roman" w:hAnsi="Times New Roman" w:cs="Times New Roman"/>
          <w:lang w:val="es-MX"/>
        </w:rPr>
        <w:t xml:space="preserve"> Puesto</w:t>
      </w:r>
      <w:r>
        <w:rPr>
          <w:rFonts w:ascii="Times New Roman" w:hAnsi="Times New Roman" w:cs="Times New Roman"/>
          <w:lang w:val="es-MX"/>
        </w:rPr>
        <w:t xml:space="preserve"> que los niños </w:t>
      </w:r>
      <w:r w:rsidR="002D19B6">
        <w:rPr>
          <w:rFonts w:ascii="Times New Roman" w:hAnsi="Times New Roman" w:cs="Times New Roman"/>
          <w:lang w:val="es-MX"/>
        </w:rPr>
        <w:t>no tienen claridad</w:t>
      </w:r>
      <w:r>
        <w:rPr>
          <w:rFonts w:ascii="Times New Roman" w:hAnsi="Times New Roman" w:cs="Times New Roman"/>
          <w:lang w:val="es-MX"/>
        </w:rPr>
        <w:t xml:space="preserve"> acerca de la conexión de la escuela del distrito con el Club, esa </w:t>
      </w:r>
      <w:r w:rsidR="002D19B6">
        <w:rPr>
          <w:rFonts w:ascii="Times New Roman" w:hAnsi="Times New Roman" w:cs="Times New Roman"/>
          <w:lang w:val="es-MX"/>
        </w:rPr>
        <w:t>confusión</w:t>
      </w:r>
      <w:r>
        <w:rPr>
          <w:rFonts w:ascii="Times New Roman" w:hAnsi="Times New Roman" w:cs="Times New Roman"/>
          <w:lang w:val="es-MX"/>
        </w:rPr>
        <w:t xml:space="preserve"> no es constitucionalmente significativa, </w:t>
      </w:r>
      <w:r w:rsidR="002D19B6">
        <w:rPr>
          <w:rFonts w:ascii="Times New Roman" w:hAnsi="Times New Roman" w:cs="Times New Roman"/>
          <w:lang w:val="es-MX"/>
        </w:rPr>
        <w:t xml:space="preserve">porque los niños no tienen esa libertad de actuar si no es claro para ellos. </w:t>
      </w:r>
      <w:r w:rsidR="00336EED">
        <w:rPr>
          <w:rFonts w:ascii="Times New Roman" w:hAnsi="Times New Roman" w:cs="Times New Roman"/>
          <w:lang w:val="es-MX"/>
        </w:rPr>
        <w:t>Ter</w:t>
      </w:r>
      <w:r w:rsidR="002D19B6">
        <w:rPr>
          <w:rFonts w:ascii="Times New Roman" w:hAnsi="Times New Roman" w:cs="Times New Roman"/>
          <w:lang w:val="es-MX"/>
        </w:rPr>
        <w:t xml:space="preserve">cero, la </w:t>
      </w:r>
      <w:r w:rsidR="00336EED">
        <w:rPr>
          <w:rFonts w:ascii="Times New Roman" w:hAnsi="Times New Roman" w:cs="Times New Roman"/>
          <w:lang w:val="es-MX"/>
        </w:rPr>
        <w:t>inquietud</w:t>
      </w:r>
      <w:r w:rsidR="002D19B6">
        <w:rPr>
          <w:rFonts w:ascii="Times New Roman" w:hAnsi="Times New Roman" w:cs="Times New Roman"/>
          <w:lang w:val="es-MX"/>
        </w:rPr>
        <w:t xml:space="preserve"> acerca de las percepciones erróneas del potencial de los niños</w:t>
      </w:r>
      <w:r w:rsidR="00D57970">
        <w:rPr>
          <w:rFonts w:ascii="Times New Roman" w:hAnsi="Times New Roman" w:cs="Times New Roman"/>
          <w:lang w:val="es-MX"/>
        </w:rPr>
        <w:t xml:space="preserve"> no </w:t>
      </w:r>
      <w:r w:rsidR="00336EED">
        <w:rPr>
          <w:rFonts w:ascii="Times New Roman" w:hAnsi="Times New Roman" w:cs="Times New Roman"/>
          <w:lang w:val="es-MX"/>
        </w:rPr>
        <w:t>debe ser algo en lo que nos involucremos.  Aunque es posible que algunos infieran en algún concepto erróneo de (favoritismo) al de trato igualitario, es necesario que la Corte considere el impacto en las políticas que discriminan o excluyen al Club. Los niños posiblemente percibirían</w:t>
      </w:r>
      <w:r w:rsidR="00F23317">
        <w:rPr>
          <w:rFonts w:ascii="Times New Roman" w:hAnsi="Times New Roman" w:cs="Times New Roman"/>
          <w:lang w:val="es-MX"/>
        </w:rPr>
        <w:t xml:space="preserve"> un mensaje hostil del gobierno hacia la religión.  Probablemente</w:t>
      </w:r>
      <w:r w:rsidR="00A5557C">
        <w:rPr>
          <w:rFonts w:ascii="Times New Roman" w:hAnsi="Times New Roman" w:cs="Times New Roman"/>
          <w:lang w:val="es-MX"/>
        </w:rPr>
        <w:t xml:space="preserve"> no podrían comprender que la di</w:t>
      </w:r>
      <w:r w:rsidR="00F23317">
        <w:rPr>
          <w:rFonts w:ascii="Times New Roman" w:hAnsi="Times New Roman" w:cs="Times New Roman"/>
          <w:lang w:val="es-MX"/>
        </w:rPr>
        <w:t>scriminación es un producto</w:t>
      </w:r>
      <w:r w:rsidR="00A5557C">
        <w:rPr>
          <w:rFonts w:ascii="Times New Roman" w:hAnsi="Times New Roman" w:cs="Times New Roman"/>
          <w:lang w:val="es-MX"/>
        </w:rPr>
        <w:t xml:space="preserve"> hostil</w:t>
      </w:r>
      <w:r w:rsidR="00F23317">
        <w:rPr>
          <w:rFonts w:ascii="Times New Roman" w:hAnsi="Times New Roman" w:cs="Times New Roman"/>
          <w:lang w:val="es-MX"/>
        </w:rPr>
        <w:t xml:space="preserve"> </w:t>
      </w:r>
      <w:r w:rsidR="00A5557C">
        <w:rPr>
          <w:rFonts w:ascii="Times New Roman" w:hAnsi="Times New Roman" w:cs="Times New Roman"/>
          <w:lang w:val="es-MX"/>
        </w:rPr>
        <w:t xml:space="preserve">matizado sutilmente de doctrinas de leyes constitucionales; en tal caso, inferirían en la hostilidad.  También, no podemos justificar un </w:t>
      </w:r>
      <w:r w:rsidR="00A5557C" w:rsidRPr="00A5557C">
        <w:rPr>
          <w:rFonts w:ascii="Times New Roman" w:hAnsi="Times New Roman" w:cs="Times New Roman"/>
          <w:i/>
          <w:lang w:val="es-MX"/>
        </w:rPr>
        <w:t>acto de violación</w:t>
      </w:r>
      <w:r w:rsidR="00A5557C">
        <w:rPr>
          <w:rFonts w:ascii="Times New Roman" w:hAnsi="Times New Roman" w:cs="Times New Roman"/>
          <w:i/>
          <w:lang w:val="es-MX"/>
        </w:rPr>
        <w:t xml:space="preserve"> </w:t>
      </w:r>
      <w:r w:rsidR="00A5557C">
        <w:rPr>
          <w:rFonts w:ascii="Times New Roman" w:hAnsi="Times New Roman" w:cs="Times New Roman"/>
          <w:lang w:val="es-MX"/>
        </w:rPr>
        <w:t xml:space="preserve">de los derechos constitucionales </w:t>
      </w:r>
      <w:r w:rsidR="009B1836">
        <w:rPr>
          <w:rFonts w:ascii="Times New Roman" w:hAnsi="Times New Roman" w:cs="Times New Roman"/>
          <w:lang w:val="es-MX"/>
        </w:rPr>
        <w:t xml:space="preserve">invocando conjeturas temiendo que a algunas personas van a tener </w:t>
      </w:r>
      <w:r w:rsidR="00F503E5">
        <w:rPr>
          <w:rFonts w:ascii="Times New Roman" w:hAnsi="Times New Roman" w:cs="Times New Roman"/>
          <w:lang w:val="es-MX"/>
        </w:rPr>
        <w:t>un mal concepto</w:t>
      </w:r>
      <w:r w:rsidR="009B1836">
        <w:rPr>
          <w:rFonts w:ascii="Times New Roman" w:hAnsi="Times New Roman" w:cs="Times New Roman"/>
          <w:lang w:val="es-MX"/>
        </w:rPr>
        <w:t>.</w:t>
      </w:r>
    </w:p>
    <w:p w:rsidR="00C26E05" w:rsidRPr="00C26E05" w:rsidRDefault="00C26E05" w:rsidP="00C26E05">
      <w:pPr>
        <w:spacing w:after="0"/>
        <w:ind w:left="144" w:right="144"/>
        <w:rPr>
          <w:rFonts w:ascii="Times New Roman" w:hAnsi="Times New Roman" w:cs="Times New Roman"/>
          <w:lang w:val="es-MX"/>
        </w:rPr>
      </w:pPr>
    </w:p>
    <w:p w:rsidR="00345898" w:rsidRPr="00D5183B" w:rsidRDefault="00345898" w:rsidP="00345898">
      <w:pPr>
        <w:spacing w:after="0"/>
        <w:rPr>
          <w:rFonts w:ascii="Times New Roman" w:hAnsi="Times New Roman" w:cs="Times New Roman"/>
          <w:lang w:val="es-MX"/>
        </w:rPr>
      </w:pPr>
    </w:p>
    <w:p w:rsidR="00D5183B" w:rsidRPr="00D5183B" w:rsidRDefault="00D5183B" w:rsidP="00345898">
      <w:pPr>
        <w:spacing w:after="0"/>
        <w:rPr>
          <w:rFonts w:ascii="Times New Roman" w:hAnsi="Times New Roman" w:cs="Times New Roman"/>
          <w:lang w:val="es-MX"/>
        </w:rPr>
      </w:pPr>
    </w:p>
    <w:p w:rsidR="00D5183B" w:rsidRPr="00D5183B" w:rsidRDefault="00D5183B" w:rsidP="00D5183B">
      <w:pPr>
        <w:spacing w:after="0"/>
        <w:ind w:left="144" w:right="144"/>
        <w:rPr>
          <w:rFonts w:ascii="Times New Roman" w:hAnsi="Times New Roman" w:cs="Times New Roman"/>
          <w:b/>
          <w:sz w:val="16"/>
          <w:szCs w:val="16"/>
          <w:lang w:val="es-MX"/>
        </w:rPr>
      </w:pPr>
    </w:p>
    <w:p w:rsidR="00345898" w:rsidRPr="00D5183B" w:rsidRDefault="00345898" w:rsidP="00345898">
      <w:pPr>
        <w:spacing w:after="0"/>
        <w:rPr>
          <w:rFonts w:ascii="Times New Roman" w:hAnsi="Times New Roman" w:cs="Times New Roman"/>
          <w:b/>
          <w:sz w:val="16"/>
          <w:szCs w:val="16"/>
          <w:lang w:val="es-MX"/>
        </w:rPr>
      </w:pPr>
    </w:p>
    <w:p w:rsidR="00D0193C" w:rsidRPr="00D5183B" w:rsidRDefault="00D0193C" w:rsidP="00D0193C">
      <w:pPr>
        <w:pStyle w:val="Heading1"/>
        <w:rPr>
          <w:rFonts w:ascii="Times New Roman" w:hAnsi="Times New Roman" w:cs="Times New Roman"/>
          <w:sz w:val="20"/>
          <w:szCs w:val="20"/>
          <w:lang w:val="es-MX"/>
        </w:rPr>
      </w:pPr>
    </w:p>
    <w:p w:rsidR="00D0193C" w:rsidRPr="00D5183B" w:rsidRDefault="00D0193C" w:rsidP="00D0193C">
      <w:pPr>
        <w:jc w:val="center"/>
        <w:rPr>
          <w:rFonts w:ascii="Times New Roman" w:hAnsi="Times New Roman" w:cs="Times New Roman"/>
          <w:b/>
          <w:lang w:val="es-MX"/>
        </w:rPr>
      </w:pPr>
    </w:p>
    <w:sectPr w:rsidR="00D0193C" w:rsidRPr="00D5183B" w:rsidSect="0034589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218" w:rsidRDefault="00703218" w:rsidP="00345898">
      <w:pPr>
        <w:spacing w:after="0" w:line="240" w:lineRule="auto"/>
      </w:pPr>
      <w:r>
        <w:separator/>
      </w:r>
    </w:p>
  </w:endnote>
  <w:endnote w:type="continuationSeparator" w:id="0">
    <w:p w:rsidR="00703218" w:rsidRDefault="00703218" w:rsidP="0034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218" w:rsidRDefault="00703218" w:rsidP="00345898">
      <w:pPr>
        <w:spacing w:after="0" w:line="240" w:lineRule="auto"/>
      </w:pPr>
      <w:r>
        <w:separator/>
      </w:r>
    </w:p>
  </w:footnote>
  <w:footnote w:type="continuationSeparator" w:id="0">
    <w:p w:rsidR="00703218" w:rsidRDefault="00703218" w:rsidP="00345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898" w:rsidRPr="00345898" w:rsidRDefault="00345898" w:rsidP="00345898">
    <w:pPr>
      <w:ind w:left="144" w:right="144"/>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3C"/>
    <w:rsid w:val="000A563A"/>
    <w:rsid w:val="000D6699"/>
    <w:rsid w:val="0015006E"/>
    <w:rsid w:val="002D19B6"/>
    <w:rsid w:val="00336EED"/>
    <w:rsid w:val="00345898"/>
    <w:rsid w:val="003748EA"/>
    <w:rsid w:val="003D1F3C"/>
    <w:rsid w:val="004965EB"/>
    <w:rsid w:val="005A7F38"/>
    <w:rsid w:val="00703218"/>
    <w:rsid w:val="007F4F1C"/>
    <w:rsid w:val="009A46A2"/>
    <w:rsid w:val="009B1836"/>
    <w:rsid w:val="00A0667D"/>
    <w:rsid w:val="00A5557C"/>
    <w:rsid w:val="00A93AEA"/>
    <w:rsid w:val="00C26E05"/>
    <w:rsid w:val="00D0193C"/>
    <w:rsid w:val="00D5183B"/>
    <w:rsid w:val="00D57970"/>
    <w:rsid w:val="00DC1796"/>
    <w:rsid w:val="00E24CB1"/>
    <w:rsid w:val="00F23317"/>
    <w:rsid w:val="00F467DC"/>
    <w:rsid w:val="00F503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174A31-1F6B-4D4D-9D35-1695BDE5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19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93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45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98"/>
  </w:style>
  <w:style w:type="paragraph" w:styleId="Footer">
    <w:name w:val="footer"/>
    <w:basedOn w:val="Normal"/>
    <w:link w:val="FooterChar"/>
    <w:uiPriority w:val="99"/>
    <w:unhideWhenUsed/>
    <w:rsid w:val="00345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98"/>
  </w:style>
  <w:style w:type="paragraph" w:styleId="BalloonText">
    <w:name w:val="Balloon Text"/>
    <w:basedOn w:val="Normal"/>
    <w:link w:val="BalloonTextChar"/>
    <w:uiPriority w:val="99"/>
    <w:semiHidden/>
    <w:unhideWhenUsed/>
    <w:rsid w:val="00345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2102</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dc:creator>
  <cp:lastModifiedBy>Brenda Rodríguez de Meneses</cp:lastModifiedBy>
  <cp:revision>2</cp:revision>
  <cp:lastPrinted>2017-09-19T16:50:00Z</cp:lastPrinted>
  <dcterms:created xsi:type="dcterms:W3CDTF">2017-09-19T17:40:00Z</dcterms:created>
  <dcterms:modified xsi:type="dcterms:W3CDTF">2017-09-19T17:40:00Z</dcterms:modified>
</cp:coreProperties>
</file>